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4CA" w:rsidP="006254CA" w:rsidRDefault="006254CA" w14:paraId="7D6D777D" w14:textId="77777777">
      <w:pPr>
        <w:pStyle w:val="Heading2"/>
      </w:pPr>
      <w:r w:rsidRPr="00093FEA">
        <w:t xml:space="preserve">Sample </w:t>
      </w:r>
      <w:r w:rsidR="00F6483B">
        <w:t xml:space="preserve">grievance </w:t>
      </w:r>
      <w:r w:rsidR="00391F19">
        <w:t>policy</w:t>
      </w:r>
    </w:p>
    <w:p w:rsidR="006254CA" w:rsidP="00F91A86" w:rsidRDefault="006254CA" w14:paraId="6B8DE813" w14:textId="77777777"/>
    <w:p w:rsidR="00F6483B" w:rsidP="00F6483B" w:rsidRDefault="00F6483B" w14:paraId="3E0D0FDF" w14:textId="77777777">
      <w:pPr>
        <w:pStyle w:val="Heading2"/>
      </w:pPr>
      <w:r>
        <w:t>1. Introduction</w:t>
      </w:r>
    </w:p>
    <w:p w:rsidR="00F6483B" w:rsidP="00F6483B" w:rsidRDefault="00F6483B" w14:paraId="1626B84E" w14:textId="77777777">
      <w:r>
        <w:t>This policy is to help resolve grievances that you have, relating to your employment, as quickly and as fairly as possible.</w:t>
      </w:r>
    </w:p>
    <w:p w:rsidR="00F6483B" w:rsidP="00F6483B" w:rsidRDefault="00F6483B" w14:paraId="66793717" w14:textId="77777777"/>
    <w:p w:rsidR="00F6483B" w:rsidP="00F6483B" w:rsidRDefault="00F6483B" w14:paraId="53435462" w14:textId="77777777">
      <w:pPr>
        <w:pStyle w:val="Heading2"/>
      </w:pPr>
      <w:r>
        <w:t>2. Informal discussions</w:t>
      </w:r>
    </w:p>
    <w:p w:rsidR="00F6483B" w:rsidP="00F6483B" w:rsidRDefault="00F6483B" w14:paraId="59090413" w14:textId="77777777">
      <w:r>
        <w:t>If you have a grievance about your employment you should discuss it informally with me. I hope that most concerns will be resolved in this way.</w:t>
      </w:r>
    </w:p>
    <w:p w:rsidR="00F6483B" w:rsidP="00F6483B" w:rsidRDefault="00F6483B" w14:paraId="49EE29E3" w14:textId="77777777"/>
    <w:p w:rsidR="00F6483B" w:rsidP="00F6483B" w:rsidRDefault="00F6483B" w14:paraId="50C9D343" w14:textId="77777777">
      <w:pPr>
        <w:pStyle w:val="Heading2"/>
      </w:pPr>
      <w:r>
        <w:t>3. Statutory grievance procedure</w:t>
      </w:r>
    </w:p>
    <w:p w:rsidR="0049432C" w:rsidP="00F6483B" w:rsidRDefault="00F6483B" w14:paraId="69BA9D76" w14:textId="77777777">
      <w:r>
        <w:t>If you feel that the matter has not been resolved through informal discussions, you should raise it formally. You should follow the procedure below. Under the statutory grievance procedure:</w:t>
      </w:r>
    </w:p>
    <w:tbl>
      <w:tblPr>
        <w:tblStyle w:val="TableGrid"/>
        <w:tblW w:w="0" w:type="auto"/>
        <w:tblLook w:val="04A0" w:firstRow="1" w:lastRow="0" w:firstColumn="1" w:lastColumn="0" w:noHBand="0" w:noVBand="1"/>
      </w:tblPr>
      <w:tblGrid>
        <w:gridCol w:w="1980"/>
        <w:gridCol w:w="7036"/>
      </w:tblGrid>
      <w:tr w:rsidR="00F6483B" w:rsidTr="00F6483B" w14:paraId="273454FA" w14:textId="77777777">
        <w:tc>
          <w:tcPr>
            <w:tcW w:w="1980" w:type="dxa"/>
          </w:tcPr>
          <w:p w:rsidRPr="00F6483B" w:rsidR="00F6483B" w:rsidP="00F6483B" w:rsidRDefault="00F6483B" w14:paraId="373795D4" w14:textId="77777777">
            <w:pPr>
              <w:rPr>
                <w:rFonts w:ascii="Arial" w:hAnsi="Arial" w:cs="Arial"/>
                <w:b/>
                <w:color w:val="000000"/>
                <w:szCs w:val="28"/>
              </w:rPr>
            </w:pPr>
            <w:r w:rsidRPr="00F6483B">
              <w:rPr>
                <w:rFonts w:ascii="Arial" w:hAnsi="Arial" w:cs="Arial"/>
                <w:b/>
                <w:color w:val="000000"/>
                <w:szCs w:val="28"/>
              </w:rPr>
              <w:t>Step one</w:t>
            </w:r>
          </w:p>
        </w:tc>
        <w:tc>
          <w:tcPr>
            <w:tcW w:w="7036" w:type="dxa"/>
          </w:tcPr>
          <w:p w:rsidRPr="00F6483B" w:rsidR="00F6483B" w:rsidP="00F6483B" w:rsidRDefault="00F6483B" w14:paraId="6A7BB750" w14:textId="77777777">
            <w:pPr>
              <w:rPr>
                <w:rFonts w:ascii="Arial" w:hAnsi="Arial" w:cs="Arial"/>
                <w:color w:val="000000"/>
                <w:szCs w:val="28"/>
              </w:rPr>
            </w:pPr>
            <w:r w:rsidRPr="00F6483B">
              <w:rPr>
                <w:rFonts w:ascii="Arial" w:hAnsi="Arial" w:cs="Arial"/>
                <w:color w:val="000000"/>
                <w:szCs w:val="28"/>
              </w:rPr>
              <w:t>You must inform me of your grievance in writing.</w:t>
            </w:r>
          </w:p>
        </w:tc>
      </w:tr>
      <w:tr w:rsidR="00F6483B" w:rsidTr="00F6483B" w14:paraId="56CD256D" w14:textId="77777777">
        <w:tc>
          <w:tcPr>
            <w:tcW w:w="1980" w:type="dxa"/>
          </w:tcPr>
          <w:p w:rsidRPr="00F6483B" w:rsidR="00F6483B" w:rsidP="00F6483B" w:rsidRDefault="00F6483B" w14:paraId="1DACB74A" w14:textId="77777777">
            <w:pPr>
              <w:rPr>
                <w:rFonts w:ascii="Arial" w:hAnsi="Arial" w:cs="Arial"/>
                <w:b/>
                <w:color w:val="000000"/>
                <w:szCs w:val="28"/>
              </w:rPr>
            </w:pPr>
            <w:r w:rsidRPr="00F6483B">
              <w:rPr>
                <w:rFonts w:ascii="Arial" w:hAnsi="Arial" w:cs="Arial"/>
                <w:b/>
                <w:color w:val="000000"/>
                <w:szCs w:val="28"/>
              </w:rPr>
              <w:t>Step two</w:t>
            </w:r>
          </w:p>
        </w:tc>
        <w:tc>
          <w:tcPr>
            <w:tcW w:w="7036" w:type="dxa"/>
          </w:tcPr>
          <w:p w:rsidRPr="00F6483B" w:rsidR="00F6483B" w:rsidP="00F6483B" w:rsidRDefault="00F6483B" w14:paraId="06005BC4" w14:textId="77777777">
            <w:pPr>
              <w:autoSpaceDE w:val="0"/>
              <w:autoSpaceDN w:val="0"/>
              <w:adjustRightInd w:val="0"/>
              <w:rPr>
                <w:rFonts w:ascii="Arial" w:hAnsi="Arial" w:cs="Arial"/>
                <w:color w:val="000000"/>
                <w:szCs w:val="28"/>
              </w:rPr>
            </w:pPr>
            <w:r w:rsidRPr="00F6483B">
              <w:rPr>
                <w:rFonts w:ascii="Arial" w:hAnsi="Arial" w:cs="Arial"/>
                <w:color w:val="000000"/>
                <w:szCs w:val="28"/>
              </w:rPr>
              <w:t>I will invite you to a meeting to discuss the grievance and notify you in writing of the decision. You have the right to be accompanied by a representative at all grievance meetings. This could be another employee, friend or union representative.</w:t>
            </w:r>
          </w:p>
        </w:tc>
      </w:tr>
      <w:tr w:rsidR="00F6483B" w:rsidTr="00F6483B" w14:paraId="2E83E05B" w14:textId="77777777">
        <w:tc>
          <w:tcPr>
            <w:tcW w:w="1980" w:type="dxa"/>
          </w:tcPr>
          <w:p w:rsidRPr="00F6483B" w:rsidR="00F6483B" w:rsidP="00F6483B" w:rsidRDefault="00F6483B" w14:paraId="17219B6B" w14:textId="77777777">
            <w:pPr>
              <w:rPr>
                <w:rFonts w:ascii="Arial" w:hAnsi="Arial" w:cs="Arial"/>
                <w:b/>
                <w:color w:val="000000"/>
                <w:szCs w:val="28"/>
              </w:rPr>
            </w:pPr>
            <w:r w:rsidRPr="00F6483B">
              <w:rPr>
                <w:rFonts w:ascii="Arial" w:hAnsi="Arial" w:cs="Arial"/>
                <w:b/>
                <w:color w:val="000000"/>
                <w:szCs w:val="28"/>
              </w:rPr>
              <w:t>Step three</w:t>
            </w:r>
          </w:p>
        </w:tc>
        <w:tc>
          <w:tcPr>
            <w:tcW w:w="7036" w:type="dxa"/>
          </w:tcPr>
          <w:p w:rsidRPr="00F6483B" w:rsidR="00F6483B" w:rsidP="00F6483B" w:rsidRDefault="00F6483B" w14:paraId="7F542305" w14:textId="77777777">
            <w:pPr>
              <w:rPr>
                <w:rFonts w:ascii="Arial" w:hAnsi="Arial" w:cs="Arial"/>
              </w:rPr>
            </w:pPr>
            <w:r w:rsidRPr="00F6483B">
              <w:rPr>
                <w:rFonts w:ascii="Arial" w:hAnsi="Arial" w:cs="Arial"/>
                <w:color w:val="000000"/>
                <w:szCs w:val="28"/>
              </w:rPr>
              <w:t>A right of appeal including an appeal meeting.</w:t>
            </w:r>
          </w:p>
          <w:p w:rsidRPr="00F6483B" w:rsidR="00F6483B" w:rsidP="00F6483B" w:rsidRDefault="00F6483B" w14:paraId="59D07E23" w14:textId="77777777">
            <w:pPr>
              <w:rPr>
                <w:rFonts w:ascii="Arial" w:hAnsi="Arial" w:cs="Arial"/>
                <w:color w:val="000000"/>
                <w:szCs w:val="28"/>
              </w:rPr>
            </w:pPr>
          </w:p>
        </w:tc>
      </w:tr>
    </w:tbl>
    <w:p w:rsidR="00F6483B" w:rsidP="00F6483B" w:rsidRDefault="00F6483B" w14:paraId="1442BC28" w14:textId="77777777">
      <w:pPr>
        <w:rPr>
          <w:rFonts w:ascii="HelveticaNeueLTStd-Roman" w:hAnsi="HelveticaNeueLTStd-Roman" w:cs="HelveticaNeueLTStd-Roman"/>
          <w:color w:val="000000"/>
          <w:szCs w:val="28"/>
        </w:rPr>
      </w:pPr>
    </w:p>
    <w:p w:rsidRPr="00F6483B" w:rsidR="00F6483B" w:rsidP="00F6483B" w:rsidRDefault="00F6483B" w14:paraId="5F390DBE" w14:textId="77777777">
      <w:pPr>
        <w:pStyle w:val="Heading2"/>
        <w:rPr>
          <w:rFonts w:ascii="HelveticaNeueLTStd-Roman" w:hAnsi="HelveticaNeueLTStd-Roman" w:cs="HelveticaNeueLTStd-Roman"/>
          <w:color w:val="000000"/>
          <w:sz w:val="28"/>
          <w:szCs w:val="28"/>
        </w:rPr>
      </w:pPr>
      <w:r>
        <w:t>4. Appeals</w:t>
      </w:r>
    </w:p>
    <w:p w:rsidR="00F6483B" w:rsidP="00F6483B" w:rsidRDefault="00F6483B" w14:paraId="2AD1093E" w14:textId="77777777">
      <w:r>
        <w:t>If you wish to appeal against any decision, you must appeal in writing within five working days of the decision being communicated to you. Someone who was not involved in the original grievance will hear the appeal and decide the case as impartially as possible.</w:t>
      </w:r>
    </w:p>
    <w:p w:rsidRPr="00F6483B" w:rsidR="00F6483B" w:rsidP="00F6483B" w:rsidRDefault="00F6483B" w14:paraId="305C537C" w14:textId="2379B457">
      <w:pPr>
        <w:rPr>
          <w:color w:val="005EB9"/>
        </w:rPr>
      </w:pPr>
      <w:r>
        <w:rPr>
          <w:color w:val="005EB9"/>
        </w:rPr>
        <w:t>(Note: You will need to think in advance who this might be, for example it could be a local advocacy agency, independent living or direct payment adviser</w:t>
      </w:r>
      <w:r w:rsidR="00144FAB">
        <w:rPr>
          <w:color w:val="005EB9"/>
        </w:rPr>
        <w:t xml:space="preserve"> or</w:t>
      </w:r>
      <w:r>
        <w:rPr>
          <w:color w:val="005EB9"/>
        </w:rPr>
        <w:t xml:space="preserve"> user led organisati</w:t>
      </w:r>
      <w:bookmarkStart w:name="_GoBack" w:id="0"/>
      <w:bookmarkEnd w:id="0"/>
      <w:r>
        <w:rPr>
          <w:color w:val="005EB9"/>
        </w:rPr>
        <w:t>on)</w:t>
      </w:r>
      <w:r>
        <w:t>.</w:t>
      </w:r>
      <w:r>
        <w:rPr>
          <w:rFonts w:ascii="HelveticaNeueLTStd-Bd" w:hAnsi="HelveticaNeueLTStd-Bd" w:cs="HelveticaNeueLTStd-Bd"/>
          <w:color w:val="FFFFFF"/>
        </w:rPr>
        <w:t xml:space="preserve"> </w:t>
      </w:r>
    </w:p>
    <w:sectPr w:rsidRPr="00F6483B" w:rsidR="00F6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HelveticaNeueLTStd-Roman">
    <w:panose1 w:val="020B0604020202020204"/>
    <w:charset w:val="00"/>
    <w:family w:val="swiss"/>
    <w:notTrueType/>
    <w:pitch w:val="default"/>
    <w:sig w:usb0="00000003" w:usb1="00000000" w:usb2="00000000" w:usb3="00000000" w:csb0="00000001" w:csb1="00000000"/>
  </w:font>
  <w:font w:name="HelveticaNeueLTStd-Bd">
    <w:panose1 w:val="020B08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516"/>
    <w:multiLevelType w:val="hybridMultilevel"/>
    <w:tmpl w:val="2CF4017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03F6D"/>
    <w:multiLevelType w:val="hybridMultilevel"/>
    <w:tmpl w:val="D138D374"/>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643E2"/>
    <w:multiLevelType w:val="hybridMultilevel"/>
    <w:tmpl w:val="EC9EF33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554C5"/>
    <w:multiLevelType w:val="hybridMultilevel"/>
    <w:tmpl w:val="C2DE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63368"/>
    <w:multiLevelType w:val="hybridMultilevel"/>
    <w:tmpl w:val="CFC2FAC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50ED7"/>
    <w:multiLevelType w:val="hybridMultilevel"/>
    <w:tmpl w:val="F5E037D6"/>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01388"/>
    <w:multiLevelType w:val="hybridMultilevel"/>
    <w:tmpl w:val="EB9202E4"/>
    <w:lvl w:ilvl="0" w:tplc="BF165096">
      <w:start w:val="1"/>
      <w:numFmt w:val="bullet"/>
      <w:lvlText w:val=""/>
      <w:lvlJc w:val="righ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9E18CB"/>
    <w:multiLevelType w:val="hybridMultilevel"/>
    <w:tmpl w:val="D3B8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1F91"/>
    <w:multiLevelType w:val="hybridMultilevel"/>
    <w:tmpl w:val="7758EC8A"/>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23A6F"/>
    <w:multiLevelType w:val="hybridMultilevel"/>
    <w:tmpl w:val="0580679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B688C"/>
    <w:multiLevelType w:val="hybridMultilevel"/>
    <w:tmpl w:val="18C6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1"/>
  </w:num>
  <w:num w:numId="4">
    <w:abstractNumId w:val="5"/>
  </w:num>
  <w:num w:numId="5">
    <w:abstractNumId w:val="20"/>
  </w:num>
  <w:num w:numId="6">
    <w:abstractNumId w:val="17"/>
  </w:num>
  <w:num w:numId="7">
    <w:abstractNumId w:val="16"/>
  </w:num>
  <w:num w:numId="8">
    <w:abstractNumId w:val="15"/>
  </w:num>
  <w:num w:numId="9">
    <w:abstractNumId w:val="7"/>
  </w:num>
  <w:num w:numId="10">
    <w:abstractNumId w:val="12"/>
  </w:num>
  <w:num w:numId="11">
    <w:abstractNumId w:val="14"/>
  </w:num>
  <w:num w:numId="12">
    <w:abstractNumId w:val="18"/>
  </w:num>
  <w:num w:numId="13">
    <w:abstractNumId w:val="8"/>
  </w:num>
  <w:num w:numId="14">
    <w:abstractNumId w:val="3"/>
  </w:num>
  <w:num w:numId="15">
    <w:abstractNumId w:val="10"/>
  </w:num>
  <w:num w:numId="16">
    <w:abstractNumId w:val="13"/>
  </w:num>
  <w:num w:numId="17">
    <w:abstractNumId w:val="2"/>
  </w:num>
  <w:num w:numId="18">
    <w:abstractNumId w:val="6"/>
  </w:num>
  <w:num w:numId="19">
    <w:abstractNumId w:val="0"/>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027FBF"/>
    <w:rsid w:val="00144FAB"/>
    <w:rsid w:val="00315264"/>
    <w:rsid w:val="00391F19"/>
    <w:rsid w:val="003A450E"/>
    <w:rsid w:val="003B4B38"/>
    <w:rsid w:val="0049432C"/>
    <w:rsid w:val="00603527"/>
    <w:rsid w:val="006254CA"/>
    <w:rsid w:val="006B5B9B"/>
    <w:rsid w:val="0071560E"/>
    <w:rsid w:val="0083267A"/>
    <w:rsid w:val="008E2302"/>
    <w:rsid w:val="009F6C29"/>
    <w:rsid w:val="00A6053B"/>
    <w:rsid w:val="00A82A6E"/>
    <w:rsid w:val="00BF021D"/>
    <w:rsid w:val="00C16868"/>
    <w:rsid w:val="00C332F8"/>
    <w:rsid w:val="00C9017C"/>
    <w:rsid w:val="00D95019"/>
    <w:rsid w:val="00EA3249"/>
    <w:rsid w:val="00F6483B"/>
    <w:rsid w:val="00F9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27D2"/>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table" w:styleId="TableGrid">
    <w:name w:val="Table Grid"/>
    <w:basedOn w:val="TableNormal"/>
    <w:uiPriority w:val="39"/>
    <w:rsid w:val="008E230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50E"/>
    <w:rPr>
      <w:color w:val="0563C1" w:themeColor="hyperlink"/>
      <w:u w:val="single"/>
    </w:rPr>
  </w:style>
  <w:style w:type="character" w:styleId="UnresolvedMention">
    <w:name w:val="Unresolved Mention"/>
    <w:basedOn w:val="DefaultParagraphFont"/>
    <w:uiPriority w:val="99"/>
    <w:semiHidden/>
    <w:unhideWhenUsed/>
    <w:rsid w:val="003A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grievance policy</dc:title>
  <dc:subject>
  </dc:subject>
  <dc:creator>Jenna Wood</dc:creator>
  <cp:keywords>
  </cp:keywords>
  <dc:description>
  </dc:description>
  <cp:lastModifiedBy>Rimi Matharu</cp:lastModifiedBy>
  <cp:revision>4</cp:revision>
  <dcterms:created xsi:type="dcterms:W3CDTF">2019-12-19T16:46:00Z</dcterms:created>
  <dcterms:modified xsi:type="dcterms:W3CDTF">2022-11-24T10:24:03Z</dcterms:modified>
</cp:coreProperties>
</file>