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C90DCB" w:rsidP="00C90DCB" w:rsidRDefault="00466C13" w14:paraId="7B5B801B" w14:textId="5DF8454E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466C13">
        <w:rPr>
          <w:rFonts w:ascii="Arial" w:hAnsi="Arial" w:eastAsiaTheme="majorEastAsia" w:cstheme="majorBidi"/>
          <w:b/>
          <w:color w:val="606060"/>
          <w:sz w:val="48"/>
          <w:szCs w:val="32"/>
        </w:rPr>
        <w:t>Developing a positive workplace culture checklist</w:t>
      </w:r>
    </w:p>
    <w:p w:rsidRPr="00913030" w:rsidR="00913030" w:rsidP="00913030" w:rsidRDefault="00913030" w14:paraId="20D80BAC" w14:textId="77777777">
      <w:pPr>
        <w:pStyle w:val="Heading3"/>
      </w:pPr>
    </w:p>
    <w:p w:rsidRPr="00743267" w:rsidR="003703E0" w:rsidP="00913030" w:rsidRDefault="00913030" w14:paraId="3E8D109E" w14:textId="3F405296">
      <w:pPr>
        <w:pStyle w:val="Heading2"/>
        <w:rPr>
          <w:color w:val="20A750"/>
        </w:rPr>
      </w:pPr>
      <w:r w:rsidRPr="00743267">
        <w:rPr>
          <w:color w:val="20A750"/>
        </w:rPr>
        <w:t>D</w:t>
      </w:r>
      <w:r w:rsidRPr="00743267" w:rsidR="00743267">
        <w:rPr>
          <w:color w:val="20A750"/>
        </w:rPr>
        <w:t>o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466C13" w14:paraId="7E89E31C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B63FAE" w:rsidP="00B63FAE" w:rsidRDefault="00743267" w14:paraId="39975AF9" w14:textId="76F861AA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leaders role model positive behaviours that are in-line with our values and culture.</w:t>
            </w:r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7113D4" w:rsidP="007113D4" w:rsidRDefault="007113D4" w14:paraId="3ABB6BA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B63FAE" w:rsidP="007113D4" w:rsidRDefault="007113D4" w14:paraId="027302C3" w14:textId="431DD83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B63FAE" w:rsidTr="00466C13" w14:paraId="0E83F811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B63FAE" w:rsidRDefault="00466C13" w14:paraId="6B209A40" w14:textId="2BD150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B63FAE" w:rsidP="00466C13" w:rsidRDefault="00B63FAE" w14:paraId="125CD5D5" w14:textId="71C69A76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  <w:bookmarkEnd w:id="0"/>
          </w:p>
        </w:tc>
      </w:tr>
    </w:tbl>
    <w:p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B63FAE" w:rsidRDefault="00466C13" w14:paraId="7DB066E6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6CFBBF7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743267" w14:paraId="43213BB1" w14:textId="6A95090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leaders get to know our staff as individuals and adapt their approach to meet people’s diverse needs.</w:t>
            </w:r>
          </w:p>
        </w:tc>
      </w:tr>
      <w:tr w:rsidRPr="00B63FAE" w:rsidR="00466C13" w:rsidTr="00142328" w14:paraId="6A4DCCCB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7113D4" w:rsidP="007113D4" w:rsidRDefault="007113D4" w14:paraId="79C8ACD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7113D4" w:rsidRDefault="007113D4" w14:paraId="07D75112" w14:textId="229B0B9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5EF8E79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1B79D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561E5D56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181A3E" w14:paraId="261BED52" w14:textId="2B496749">
      <w:pPr>
        <w:rPr>
          <w:rFonts w:ascii="Arial" w:hAnsi="Arial" w:cs="Arial"/>
        </w:rPr>
      </w:pPr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09C69087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743267" w14:paraId="186C31FE" w14:textId="41F7D76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lastRenderedPageBreak/>
              <w:t>Our leaders notice and focus on how staff behave in line with our vision and value and how they do their work, not just what they do.</w:t>
            </w:r>
          </w:p>
        </w:tc>
      </w:tr>
      <w:tr w:rsidRPr="00B63FAE" w:rsidR="00466C13" w:rsidTr="00142328" w14:paraId="6C7F1EB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7113D4" w:rsidP="007113D4" w:rsidRDefault="007113D4" w14:paraId="1067BFA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7113D4" w:rsidRDefault="007113D4" w14:paraId="1006B5F5" w14:textId="772F2F5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71BC7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3854EA8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CB64663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76B19CFF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1DFDB828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16E0DE9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79ACEEA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743267" w14:paraId="4BC74B26" w14:textId="252025D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teams work in an open and collaborative way, supporting each other to meet expected standards and learn from mistakes.</w:t>
            </w:r>
          </w:p>
        </w:tc>
      </w:tr>
      <w:tr w:rsidRPr="00B63FAE" w:rsidR="00466C13" w:rsidTr="00142328" w14:paraId="5880F46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7113D4" w:rsidP="007113D4" w:rsidRDefault="007113D4" w14:paraId="2B573CA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7113D4" w:rsidRDefault="007113D4" w14:paraId="3DC20D31" w14:textId="4CBE388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5C6B98AB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09EEAB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2429388F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181A3E" w:rsidP="00466C13" w:rsidRDefault="00181A3E" w14:paraId="7C552F35" w14:textId="26CCC658"/>
    <w:p w:rsidR="00466C13" w:rsidP="00466C13" w:rsidRDefault="00466C13" w14:paraId="3DB720AF" w14:textId="77777777"/>
    <w:p w:rsidR="00466C13" w:rsidP="00466C13" w:rsidRDefault="00466C13" w14:paraId="4CAE197F" w14:textId="77777777"/>
    <w:p w:rsidR="00466C13" w:rsidP="00466C13" w:rsidRDefault="00466C13" w14:paraId="18BA9F4F" w14:textId="77777777"/>
    <w:p w:rsidR="00466C13" w:rsidP="00466C13" w:rsidRDefault="00466C13" w14:paraId="6CEA4BEB" w14:textId="77777777"/>
    <w:p w:rsidR="00466C13" w:rsidP="00466C13" w:rsidRDefault="00466C13" w14:paraId="1519631B" w14:textId="77777777"/>
    <w:p w:rsidR="00466C13" w:rsidP="00466C13" w:rsidRDefault="00466C13" w14:paraId="1870217D" w14:textId="77777777"/>
    <w:p w:rsidR="00466C13" w:rsidP="00466C13" w:rsidRDefault="00466C13" w14:paraId="37B0B100" w14:textId="77777777"/>
    <w:p w:rsidR="00466C13" w:rsidRDefault="00466C13" w14:paraId="0FE0B587" w14:textId="3AA0A3D5">
      <w:r>
        <w:br w:type="page"/>
      </w:r>
    </w:p>
    <w:p w:rsidR="00466C13" w:rsidP="00466C13" w:rsidRDefault="00466C13" w14:paraId="3FB9E72A" w14:textId="77777777"/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2234970F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743267" w14:paraId="0F96AB41" w14:textId="2E772CAA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Our leaders and staff show compassion to </w:t>
            </w:r>
            <w:proofErr w:type="gramStart"/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each other, and</w:t>
            </w:r>
            <w:proofErr w:type="gramEnd"/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work together to care for the wellbeing of everyone in our workplace.</w:t>
            </w:r>
          </w:p>
        </w:tc>
      </w:tr>
      <w:tr w:rsidRPr="00B63FAE" w:rsidR="00466C13" w:rsidTr="00142328" w14:paraId="1B7426E9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7113D4" w:rsidP="007113D4" w:rsidRDefault="007113D4" w14:paraId="39C50A2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7113D4" w:rsidRDefault="007113D4" w14:paraId="033821C5" w14:textId="57234A9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21F71128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52056FC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359EA39A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="00466C13" w:rsidP="00466C13" w:rsidRDefault="00466C13" w14:paraId="1E59E694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B63FAE" w:rsidR="00466C13" w:rsidP="00466C13" w:rsidRDefault="00466C13" w14:paraId="79EF7455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466C13" w:rsidP="00466C13" w:rsidRDefault="00466C13" w14:paraId="724EE66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466C13" w:rsidTr="00142328" w14:paraId="3F2225AD" w14:textId="77777777">
        <w:tc>
          <w:tcPr>
            <w:tcW w:w="9593" w:type="dxa"/>
            <w:tcBorders>
              <w:top w:val="single" w:color="005EB8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466C13" w:rsidR="00466C13" w:rsidP="00142328" w:rsidRDefault="00743267" w14:paraId="57E9CB1E" w14:textId="7DD0D93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743267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Our staff behave in line with our culture and values, even when no-one is watching.</w:t>
            </w:r>
          </w:p>
        </w:tc>
      </w:tr>
      <w:tr w:rsidRPr="00B63FAE" w:rsidR="00466C13" w:rsidTr="00142328" w14:paraId="069CA003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7113D4" w:rsidP="007113D4" w:rsidRDefault="007113D4" w14:paraId="1E369C9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466C13" w:rsidR="00466C13" w:rsidP="007113D4" w:rsidRDefault="007113D4" w14:paraId="194BA8EF" w14:textId="30218E4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Agree 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Disagree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Don’t know</w:t>
            </w:r>
          </w:p>
        </w:tc>
      </w:tr>
      <w:tr w:rsidRPr="00B63FAE" w:rsidR="00466C13" w:rsidTr="00142328" w14:paraId="67B5866E" w14:textId="77777777">
        <w:trPr>
          <w:trHeight w:val="2346"/>
        </w:trPr>
        <w:tc>
          <w:tcPr>
            <w:tcW w:w="9593" w:type="dxa"/>
            <w:tcBorders>
              <w:top w:val="single" w:color="005EB8" w:sz="4" w:space="0"/>
              <w:left w:val="single" w:color="005EB8" w:sz="4" w:space="0"/>
              <w:bottom w:val="single" w:color="005EB8" w:sz="4" w:space="0"/>
              <w:right w:val="single" w:color="005EB8" w:sz="4" w:space="0"/>
            </w:tcBorders>
            <w:tcMar>
              <w:left w:w="113" w:type="dxa"/>
              <w:bottom w:w="142" w:type="dxa"/>
              <w:right w:w="0" w:type="dxa"/>
            </w:tcMar>
          </w:tcPr>
          <w:p w:rsidR="00466C13" w:rsidP="00142328" w:rsidRDefault="00466C13" w14:paraId="41B335A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Proposed action</w:t>
            </w:r>
          </w:p>
          <w:p w:rsidRPr="00466C13" w:rsidR="00466C13" w:rsidP="00142328" w:rsidRDefault="00466C13" w14:paraId="131D5794" w14:textId="77777777">
            <w:pPr>
              <w:pStyle w:val="Paragraph"/>
            </w:pPr>
            <w:r w:rsidRPr="00466C1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6C13">
              <w:rPr>
                <w:sz w:val="24"/>
                <w:szCs w:val="24"/>
              </w:rPr>
              <w:instrText xml:space="preserve"> FORMTEXT </w:instrText>
            </w:r>
            <w:r w:rsidRPr="00466C13">
              <w:fldChar w:fldCharType="separate"/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rPr>
                <w:sz w:val="24"/>
                <w:szCs w:val="24"/>
              </w:rPr>
              <w:t> </w:t>
            </w:r>
            <w:r w:rsidRPr="00466C13">
              <w:fldChar w:fldCharType="end"/>
            </w:r>
          </w:p>
        </w:tc>
      </w:tr>
    </w:tbl>
    <w:p w:rsidRPr="000467B8" w:rsidR="00466C13" w:rsidP="00466C13" w:rsidRDefault="00466C13" w14:paraId="590E2B0E" w14:textId="77777777"/>
    <w:sectPr w:rsidRPr="000467B8" w:rsidR="00466C13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C16C" w14:textId="77777777" w:rsidR="0083559F" w:rsidRDefault="0083559F" w:rsidP="00F05B05">
      <w:r>
        <w:separator/>
      </w:r>
    </w:p>
  </w:endnote>
  <w:endnote w:type="continuationSeparator" w:id="0">
    <w:p w14:paraId="75FB08AA" w14:textId="77777777" w:rsidR="0083559F" w:rsidRDefault="0083559F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600E59DE" w:rsidR="009579B3" w:rsidRPr="009579B3" w:rsidRDefault="001E0E9C" w:rsidP="001E0E9C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B72DBA">
      <w:rPr>
        <w:rFonts w:ascii="Arial" w:hAnsi="Arial" w:cs="Arial"/>
        <w:bCs/>
        <w:color w:val="606060"/>
        <w:sz w:val="20"/>
        <w:szCs w:val="20"/>
      </w:rPr>
      <w:t>Developing a positive workplace culture checklist</w:t>
    </w:r>
    <w:r>
      <w:rPr>
        <w:rFonts w:ascii="Arial" w:hAnsi="Arial" w:cs="Arial"/>
        <w:b/>
        <w:color w:val="606060"/>
        <w:sz w:val="20"/>
        <w:szCs w:val="20"/>
      </w:rPr>
      <w:t xml:space="preserve"> - 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7D40" w14:textId="77777777" w:rsidR="0083559F" w:rsidRDefault="0083559F" w:rsidP="00F05B05">
      <w:r>
        <w:separator/>
      </w:r>
    </w:p>
  </w:footnote>
  <w:footnote w:type="continuationSeparator" w:id="0">
    <w:p w14:paraId="76CC8491" w14:textId="77777777" w:rsidR="0083559F" w:rsidRDefault="0083559F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81A3E"/>
    <w:rsid w:val="001E0E9C"/>
    <w:rsid w:val="00301F2E"/>
    <w:rsid w:val="00342350"/>
    <w:rsid w:val="003703E0"/>
    <w:rsid w:val="00442162"/>
    <w:rsid w:val="00466C13"/>
    <w:rsid w:val="005121D8"/>
    <w:rsid w:val="00527D20"/>
    <w:rsid w:val="006D380F"/>
    <w:rsid w:val="007113D4"/>
    <w:rsid w:val="007134CD"/>
    <w:rsid w:val="00743267"/>
    <w:rsid w:val="007E0C77"/>
    <w:rsid w:val="00826016"/>
    <w:rsid w:val="0083559F"/>
    <w:rsid w:val="008A2F24"/>
    <w:rsid w:val="008C5E4D"/>
    <w:rsid w:val="00913030"/>
    <w:rsid w:val="009579B3"/>
    <w:rsid w:val="009E5F60"/>
    <w:rsid w:val="00A72510"/>
    <w:rsid w:val="00B63FAE"/>
    <w:rsid w:val="00B86141"/>
    <w:rsid w:val="00C90DCB"/>
    <w:rsid w:val="00CC59BE"/>
    <w:rsid w:val="00D62D89"/>
    <w:rsid w:val="00E027FD"/>
    <w:rsid w:val="00E33D46"/>
    <w:rsid w:val="00F05B05"/>
    <w:rsid w:val="00F428C4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workplace culture checklist do</dc:title>
  <dc:subject>
  </dc:subject>
  <dc:creator>Daniel Yates</dc:creator>
  <cp:keywords>
  </cp:keywords>
  <dc:description>
  </dc:description>
  <cp:lastModifiedBy>Daniel Yates</cp:lastModifiedBy>
  <cp:revision>4</cp:revision>
  <dcterms:created xsi:type="dcterms:W3CDTF">2023-09-13T08:53:00Z</dcterms:created>
  <dcterms:modified xsi:type="dcterms:W3CDTF">2023-09-13T14:36:31Z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