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5AE5" w:rsidR="009A2E30" w:rsidP="004B0858" w:rsidRDefault="004B0858" w14:paraId="6569BDF0" w14:textId="176D018C">
      <w:pPr>
        <w:pStyle w:val="Heading2"/>
        <w:shd w:val="clear" w:color="auto" w:fill="FFFFFF"/>
        <w:spacing w:before="0" w:after="180"/>
        <w:rPr>
          <w:rFonts w:ascii="Arial" w:hAnsi="Arial" w:cs="Arial"/>
          <w:color w:val="005EB8"/>
          <w:spacing w:val="3"/>
          <w:sz w:val="39"/>
          <w:szCs w:val="39"/>
        </w:rPr>
      </w:pPr>
      <w:r w:rsidRPr="00595AE5">
        <w:rPr>
          <w:rFonts w:ascii="Arial" w:hAnsi="Arial" w:cs="Arial"/>
          <w:b/>
          <w:bCs/>
          <w:color w:val="005EB8"/>
          <w:spacing w:val="3"/>
          <w:sz w:val="39"/>
          <w:szCs w:val="39"/>
        </w:rPr>
        <w:t>Involving people to manage risk</w:t>
      </w:r>
    </w:p>
    <w:p w:rsidR="004B0858" w:rsidP="004B0858" w:rsidRDefault="004B0858" w14:paraId="3E839200" w14:textId="77777777">
      <w:pPr>
        <w:pStyle w:val="Heading3"/>
        <w:rPr>
          <w:rFonts w:ascii="Arial" w:hAnsi="Arial" w:cs="Arial"/>
          <w:color w:val="auto"/>
          <w:sz w:val="24"/>
          <w:szCs w:val="24"/>
        </w:rPr>
      </w:pPr>
      <w:r w:rsidRPr="00134526">
        <w:rPr>
          <w:rFonts w:ascii="Arial" w:hAnsi="Arial" w:cs="Arial"/>
          <w:color w:val="auto"/>
          <w:sz w:val="24"/>
          <w:szCs w:val="24"/>
        </w:rPr>
        <w:t>Protecting people from harm should be a priority for adult social care services. Practical and proactive approaches can help services quickly assess risks and regularly review and adjust them.</w:t>
      </w:r>
    </w:p>
    <w:p w:rsidRPr="004B0858" w:rsidR="004B0858" w:rsidP="00F87651" w:rsidRDefault="004B0858" w14:paraId="3CF6A78B" w14:textId="6656E4F9">
      <w:pPr>
        <w:pStyle w:val="Heading3"/>
        <w:rPr>
          <w:rFonts w:ascii="Arial" w:hAnsi="Arial" w:cs="Arial"/>
          <w:b w:val="0"/>
          <w:bCs w:val="0"/>
          <w:color w:val="auto"/>
          <w:sz w:val="24"/>
          <w:szCs w:val="24"/>
        </w:rPr>
      </w:pPr>
      <w:r w:rsidRPr="007C72F7">
        <w:rPr>
          <w:rFonts w:ascii="Arial" w:hAnsi="Arial" w:cs="Arial"/>
          <w:b w:val="0"/>
          <w:bCs w:val="0"/>
          <w:color w:val="auto"/>
          <w:sz w:val="24"/>
          <w:szCs w:val="24"/>
        </w:rPr>
        <w:t xml:space="preserve">The CQC will expect you to support people to help them to understand and manage risks every day. The CQC inspectors will want to know how you keep people safe </w:t>
      </w:r>
      <w:r w:rsidRPr="007C72F7" w:rsidR="007C72F7">
        <w:rPr>
          <w:rFonts w:ascii="Arial" w:hAnsi="Arial" w:cs="Arial"/>
          <w:b w:val="0"/>
          <w:bCs w:val="0"/>
          <w:color w:val="auto"/>
          <w:sz w:val="24"/>
          <w:szCs w:val="24"/>
        </w:rPr>
        <w:t>whilst</w:t>
      </w:r>
      <w:r w:rsidRPr="007C72F7">
        <w:rPr>
          <w:rFonts w:ascii="Arial" w:hAnsi="Arial" w:cs="Arial"/>
          <w:b w:val="0"/>
          <w:bCs w:val="0"/>
          <w:color w:val="auto"/>
          <w:sz w:val="24"/>
          <w:szCs w:val="24"/>
        </w:rPr>
        <w:t xml:space="preserve"> not restricting their lives. This may include supporting people to take positive risks that enable them to live freely and achieve personal goals. There will be the expectation that your service always seeks out the least restrictive ways to achieve this.</w:t>
      </w:r>
    </w:p>
    <w:p w:rsidRPr="005B34AD" w:rsidR="00F87651" w:rsidP="00F87651" w:rsidRDefault="00F87651" w14:paraId="0AB6F281" w14:textId="07B16EDC">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595AE5"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595AE5">
              <w:rPr>
                <w:rStyle w:val="BodyCopyUnderline"/>
                <w:rFonts w:ascii="Arial" w:hAnsi="Arial" w:cs="Arial"/>
                <w:color w:val="005EB8"/>
                <w:sz w:val="28"/>
                <w:szCs w:val="28"/>
                <w:u w:val="none"/>
              </w:rPr>
              <w:t xml:space="preserve">How </w:t>
            </w:r>
            <w:r w:rsidRPr="00595AE5"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595AE5" w:rsidR="0013462C" w:rsidP="008A4C9A" w:rsidRDefault="0013462C" w14:paraId="21F9D808" w14:textId="35D22708">
            <w:pPr>
              <w:pStyle w:val="BasicParagraph"/>
              <w:suppressAutoHyphens/>
              <w:jc w:val="center"/>
              <w:rPr>
                <w:color w:val="005EB8"/>
              </w:rPr>
            </w:pPr>
            <w:r w:rsidRPr="00595AE5">
              <w:rPr>
                <w:rStyle w:val="BodyCopyUnderline"/>
                <w:rFonts w:ascii="Arial" w:hAnsi="Arial" w:cs="Arial"/>
                <w:color w:val="005EB8"/>
                <w:sz w:val="28"/>
                <w:szCs w:val="28"/>
                <w:u w:val="none"/>
              </w:rPr>
              <w:t>Action</w:t>
            </w:r>
          </w:p>
        </w:tc>
      </w:tr>
      <w:tr w:rsidRPr="00F87651" w:rsidR="004B0858" w:rsidTr="0013462C" w14:paraId="181225C8" w14:textId="77777777">
        <w:trPr>
          <w:cantSplit/>
          <w:trHeight w:val="60"/>
        </w:trPr>
        <w:tc>
          <w:tcPr>
            <w:tcW w:w="5102" w:type="dxa"/>
            <w:tcMar>
              <w:top w:w="113" w:type="dxa"/>
              <w:left w:w="113" w:type="dxa"/>
              <w:bottom w:w="113" w:type="dxa"/>
              <w:right w:w="113" w:type="dxa"/>
            </w:tcMar>
          </w:tcPr>
          <w:p w:rsidRPr="00F87651" w:rsidR="004B0858" w:rsidP="004B0858" w:rsidRDefault="004B0858" w14:paraId="4E01ECD1" w14:textId="22EBBC27">
            <w:pPr>
              <w:pStyle w:val="BasicParagraph"/>
              <w:suppressAutoHyphens/>
              <w:ind w:left="28" w:hanging="28"/>
              <w:rPr>
                <w:rStyle w:val="BodyCopyUnderline"/>
                <w:rFonts w:ascii="Arial" w:hAnsi="Arial" w:cs="Arial"/>
                <w:u w:val="none"/>
              </w:rPr>
            </w:pPr>
            <w:r w:rsidRPr="00FB51AD">
              <w:rPr>
                <w:rStyle w:val="BodyCopyUnderline"/>
                <w:rFonts w:ascii="Arial" w:hAnsi="Arial" w:cs="Arial"/>
                <w:u w:val="none"/>
              </w:rPr>
              <w:t>We can evidence how we support people to understand and manage any risks.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28CE58CF" w14:textId="77777777">
        <w:trPr>
          <w:cantSplit/>
          <w:trHeight w:val="60"/>
        </w:trPr>
        <w:tc>
          <w:tcPr>
            <w:tcW w:w="5102" w:type="dxa"/>
            <w:tcMar>
              <w:top w:w="113" w:type="dxa"/>
              <w:left w:w="113" w:type="dxa"/>
              <w:bottom w:w="113" w:type="dxa"/>
              <w:right w:w="113" w:type="dxa"/>
            </w:tcMar>
          </w:tcPr>
          <w:p w:rsidRPr="00F87651" w:rsidR="004B0858" w:rsidP="004B0858" w:rsidRDefault="004B0858" w14:paraId="0B403A82" w14:textId="655AB003">
            <w:pPr>
              <w:pStyle w:val="BasicParagraph"/>
              <w:suppressAutoHyphens/>
              <w:ind w:left="28" w:hanging="28"/>
            </w:pPr>
            <w:r w:rsidRPr="00FB51AD">
              <w:rPr>
                <w:rStyle w:val="BodyCopyUnderline"/>
                <w:rFonts w:ascii="Arial" w:hAnsi="Arial" w:cs="Arial"/>
                <w:u w:val="none"/>
              </w:rPr>
              <w:t>Our person-centred risk assessments support our people to have as much freedom, choice, and control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64736BEE" w14:textId="77777777">
        <w:trPr>
          <w:cantSplit/>
          <w:trHeight w:val="60"/>
        </w:trPr>
        <w:tc>
          <w:tcPr>
            <w:tcW w:w="5102" w:type="dxa"/>
            <w:tcMar>
              <w:top w:w="113" w:type="dxa"/>
              <w:left w:w="113" w:type="dxa"/>
              <w:bottom w:w="113" w:type="dxa"/>
              <w:right w:w="113" w:type="dxa"/>
            </w:tcMar>
          </w:tcPr>
          <w:p w:rsidRPr="00F87651" w:rsidR="004B0858" w:rsidP="004B0858" w:rsidRDefault="004B0858" w14:paraId="0F31BD1E" w14:textId="6B98C8D6">
            <w:pPr>
              <w:pStyle w:val="BasicParagraph"/>
              <w:suppressAutoHyphens/>
              <w:ind w:left="28" w:hanging="28"/>
            </w:pPr>
            <w:r w:rsidRPr="00FB51AD">
              <w:rPr>
                <w:rStyle w:val="BodyCopyUnderline"/>
                <w:rFonts w:ascii="Arial" w:hAnsi="Arial" w:cs="Arial"/>
                <w:u w:val="none"/>
              </w:rPr>
              <w:lastRenderedPageBreak/>
              <w:t>We involve the people we support in deciding their own risk assessments and include them in subsequent reviews/revisions.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10E44053" w14:textId="77777777">
        <w:trPr>
          <w:cantSplit/>
          <w:trHeight w:val="60"/>
        </w:trPr>
        <w:tc>
          <w:tcPr>
            <w:tcW w:w="5102" w:type="dxa"/>
            <w:tcMar>
              <w:top w:w="113" w:type="dxa"/>
              <w:left w:w="113" w:type="dxa"/>
              <w:bottom w:w="113" w:type="dxa"/>
              <w:right w:w="113" w:type="dxa"/>
            </w:tcMar>
          </w:tcPr>
          <w:p w:rsidRPr="00F87651" w:rsidR="004B0858" w:rsidP="004B0858" w:rsidRDefault="004B0858" w14:paraId="3B006F4A" w14:textId="5F5DBBD1">
            <w:pPr>
              <w:pStyle w:val="BasicParagraph"/>
              <w:suppressAutoHyphens/>
              <w:ind w:left="28" w:hanging="28"/>
            </w:pPr>
            <w:r w:rsidRPr="00FB51AD">
              <w:rPr>
                <w:rStyle w:val="BodyCopyUnderline"/>
                <w:rFonts w:ascii="Arial" w:hAnsi="Arial" w:cs="Arial"/>
                <w:u w:val="none"/>
              </w:rPr>
              <w:t>We encourage people to take positive risks to maximise their control over their care and treatment.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4BBDA6FC" w14:textId="77777777">
        <w:trPr>
          <w:cantSplit/>
          <w:trHeight w:val="60"/>
        </w:trPr>
        <w:tc>
          <w:tcPr>
            <w:tcW w:w="5102" w:type="dxa"/>
            <w:tcMar>
              <w:top w:w="113" w:type="dxa"/>
              <w:left w:w="113" w:type="dxa"/>
              <w:bottom w:w="113" w:type="dxa"/>
              <w:right w:w="113" w:type="dxa"/>
            </w:tcMar>
          </w:tcPr>
          <w:p w:rsidRPr="00F87651" w:rsidR="004B0858" w:rsidP="004B0858" w:rsidRDefault="004B0858" w14:paraId="1F84637B" w14:textId="29FB275B">
            <w:pPr>
              <w:pStyle w:val="BasicParagraph"/>
              <w:suppressAutoHyphens/>
              <w:ind w:left="28" w:hanging="28"/>
              <w:rPr>
                <w:rStyle w:val="BodyCopyUnderline"/>
                <w:rFonts w:ascii="Arial" w:hAnsi="Arial" w:cs="Arial"/>
                <w:u w:val="none"/>
              </w:rPr>
            </w:pPr>
            <w:r w:rsidRPr="00FB51AD">
              <w:rPr>
                <w:rStyle w:val="BodyCopyUnderline"/>
                <w:rFonts w:ascii="Arial" w:hAnsi="Arial" w:cs="Arial"/>
                <w:u w:val="none"/>
              </w:rPr>
              <w:t>We ensure our risk assessments reflect current equality and human rights legislation, as well as clearly documenting the person’s capacity at the time of the assessment.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73EAD9A4" w14:textId="77777777">
        <w:trPr>
          <w:cantSplit/>
          <w:trHeight w:val="60"/>
        </w:trPr>
        <w:tc>
          <w:tcPr>
            <w:tcW w:w="5102" w:type="dxa"/>
            <w:tcMar>
              <w:top w:w="113" w:type="dxa"/>
              <w:left w:w="113" w:type="dxa"/>
              <w:bottom w:w="113" w:type="dxa"/>
              <w:right w:w="113" w:type="dxa"/>
            </w:tcMar>
          </w:tcPr>
          <w:p w:rsidRPr="00F87651" w:rsidR="004B0858" w:rsidP="004B0858" w:rsidRDefault="004B0858" w14:paraId="45BBE697" w14:textId="23218D26">
            <w:pPr>
              <w:pStyle w:val="BasicParagraph"/>
              <w:suppressAutoHyphens/>
              <w:ind w:left="28" w:hanging="28"/>
              <w:rPr>
                <w:rStyle w:val="BodyCopyUnderline"/>
                <w:rFonts w:ascii="Arial" w:hAnsi="Arial" w:cs="Arial"/>
                <w:u w:val="none"/>
              </w:rPr>
            </w:pPr>
            <w:r w:rsidRPr="00FB51AD">
              <w:rPr>
                <w:rStyle w:val="BodyCopyUnderline"/>
                <w:rFonts w:ascii="Arial" w:hAnsi="Arial" w:cs="Arial"/>
                <w:u w:val="none"/>
              </w:rPr>
              <w:t>Where needed, we’ll involve external experts and professionals to help us manage a person’s risk (e.g., the service shares their risk assessment with the person’s GP for their view).</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337884E0" w14:textId="77777777">
        <w:trPr>
          <w:cantSplit/>
          <w:trHeight w:val="60"/>
        </w:trPr>
        <w:tc>
          <w:tcPr>
            <w:tcW w:w="5102" w:type="dxa"/>
            <w:tcMar>
              <w:top w:w="113" w:type="dxa"/>
              <w:left w:w="113" w:type="dxa"/>
              <w:bottom w:w="113" w:type="dxa"/>
              <w:right w:w="113" w:type="dxa"/>
            </w:tcMar>
          </w:tcPr>
          <w:p w:rsidRPr="00F87651" w:rsidR="004B0858" w:rsidP="004B0858" w:rsidRDefault="004B0858" w14:paraId="13AC6B08" w14:textId="5930C265">
            <w:pPr>
              <w:pStyle w:val="BasicParagraph"/>
              <w:suppressAutoHyphens/>
              <w:ind w:left="28" w:hanging="28"/>
              <w:rPr>
                <w:rStyle w:val="BodyCopyUnderline"/>
                <w:rFonts w:ascii="Arial" w:hAnsi="Arial" w:cs="Arial"/>
                <w:u w:val="none"/>
              </w:rPr>
            </w:pPr>
            <w:r w:rsidRPr="00FB51AD">
              <w:rPr>
                <w:rStyle w:val="BodyCopyUnderline"/>
                <w:rFonts w:ascii="Arial" w:hAnsi="Arial" w:cs="Arial"/>
                <w:u w:val="none"/>
              </w:rPr>
              <w:lastRenderedPageBreak/>
              <w:t>We update risk assessments to reflect any temporary changes, with any extra support needed clearly documented. We also ensure that any changes are effectively communicated to staff in a timely manner.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67043117" w14:textId="77777777">
        <w:trPr>
          <w:cantSplit/>
          <w:trHeight w:val="60"/>
        </w:trPr>
        <w:tc>
          <w:tcPr>
            <w:tcW w:w="5102" w:type="dxa"/>
            <w:tcMar>
              <w:top w:w="113" w:type="dxa"/>
              <w:left w:w="113" w:type="dxa"/>
              <w:bottom w:w="113" w:type="dxa"/>
              <w:right w:w="113" w:type="dxa"/>
            </w:tcMar>
          </w:tcPr>
          <w:p w:rsidRPr="00F87651" w:rsidR="004B0858" w:rsidP="004B0858" w:rsidRDefault="004B0858" w14:paraId="318E4B0F" w14:textId="3E9E837E">
            <w:pPr>
              <w:pStyle w:val="BasicParagraph"/>
              <w:suppressAutoHyphens/>
              <w:ind w:left="28" w:hanging="28"/>
            </w:pPr>
            <w:r w:rsidRPr="00FB51AD">
              <w:rPr>
                <w:rStyle w:val="BodyCopyUnderline"/>
                <w:rFonts w:ascii="Arial" w:hAnsi="Arial" w:cs="Arial"/>
                <w:u w:val="none"/>
              </w:rPr>
              <w:t>We ensure our staff are effectively trained and competent to undertake risk assessments of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5D9888F4" w14:textId="77777777">
        <w:trPr>
          <w:cantSplit/>
          <w:trHeight w:val="60"/>
        </w:trPr>
        <w:tc>
          <w:tcPr>
            <w:tcW w:w="5102" w:type="dxa"/>
            <w:tcMar>
              <w:top w:w="113" w:type="dxa"/>
              <w:left w:w="113" w:type="dxa"/>
              <w:bottom w:w="113" w:type="dxa"/>
              <w:right w:w="113" w:type="dxa"/>
            </w:tcMar>
          </w:tcPr>
          <w:p w:rsidRPr="00F87651" w:rsidR="004B0858" w:rsidP="004B0858" w:rsidRDefault="004B0858" w14:paraId="26DC1B12" w14:textId="62275AB4">
            <w:pPr>
              <w:pStyle w:val="BasicParagraph"/>
              <w:suppressAutoHyphens/>
              <w:ind w:left="28" w:hanging="28"/>
              <w:rPr>
                <w:rStyle w:val="BodyCopyUnderline"/>
                <w:rFonts w:ascii="Arial" w:hAnsi="Arial" w:cs="Arial"/>
                <w:u w:val="none"/>
              </w:rPr>
            </w:pPr>
            <w:r w:rsidRPr="00FB51AD">
              <w:rPr>
                <w:rStyle w:val="BodyCopyUnderline"/>
                <w:rFonts w:ascii="Arial" w:hAnsi="Arial" w:cs="Arial"/>
                <w:spacing w:val="-2"/>
                <w:u w:val="none"/>
              </w:rPr>
              <w:t>We ensure our staff understand the risks affecting each person, including what actions they need to take to minimise the risk of harm.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7C63817D" w14:textId="77777777">
        <w:trPr>
          <w:cantSplit/>
          <w:trHeight w:val="60"/>
        </w:trPr>
        <w:tc>
          <w:tcPr>
            <w:tcW w:w="5102" w:type="dxa"/>
            <w:tcMar>
              <w:top w:w="113" w:type="dxa"/>
              <w:left w:w="113" w:type="dxa"/>
              <w:bottom w:w="113" w:type="dxa"/>
              <w:right w:w="113" w:type="dxa"/>
            </w:tcMar>
          </w:tcPr>
          <w:p w:rsidRPr="00F87651" w:rsidR="004B0858" w:rsidP="004B0858" w:rsidRDefault="004B0858" w14:paraId="3FCAE211" w14:textId="1ACF94BE">
            <w:pPr>
              <w:pStyle w:val="BasicParagraph"/>
              <w:suppressAutoHyphens/>
              <w:ind w:left="28" w:hanging="28"/>
            </w:pPr>
            <w:r w:rsidRPr="00FB51AD">
              <w:rPr>
                <w:rStyle w:val="BodyCopyUnderline"/>
                <w:rFonts w:ascii="Arial" w:hAnsi="Arial" w:cs="Arial"/>
                <w:spacing w:val="-2"/>
                <w:u w:val="none"/>
              </w:rPr>
              <w:t>We ensure our staff are trained to be able to undertake dynamic risk assessments to effectively manage real-time risks.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70253102" w14:textId="77777777">
        <w:trPr>
          <w:cantSplit/>
          <w:trHeight w:val="60"/>
        </w:trPr>
        <w:tc>
          <w:tcPr>
            <w:tcW w:w="5102" w:type="dxa"/>
            <w:tcMar>
              <w:top w:w="113" w:type="dxa"/>
              <w:left w:w="113" w:type="dxa"/>
              <w:bottom w:w="113" w:type="dxa"/>
              <w:right w:w="113" w:type="dxa"/>
            </w:tcMar>
          </w:tcPr>
          <w:p w:rsidRPr="00F87651" w:rsidR="004B0858" w:rsidP="004B0858" w:rsidRDefault="004B0858" w14:paraId="106B8642" w14:textId="2889FF56">
            <w:pPr>
              <w:pStyle w:val="BasicParagraph"/>
              <w:suppressAutoHyphens/>
              <w:ind w:left="28" w:hanging="28"/>
            </w:pPr>
            <w:r w:rsidRPr="00FB51AD">
              <w:rPr>
                <w:rStyle w:val="BodyCopyUnderline"/>
                <w:rFonts w:ascii="Arial" w:hAnsi="Arial" w:cs="Arial"/>
                <w:spacing w:val="-2"/>
                <w:u w:val="none"/>
              </w:rPr>
              <w:lastRenderedPageBreak/>
              <w:t>We check that the risk assessment includes references or links to all relevant associated documents. We cross-check that there’s consistency between the information in the risk assessment and associated documents.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2524DAD8" w14:textId="77777777">
        <w:trPr>
          <w:cantSplit/>
          <w:trHeight w:val="60"/>
        </w:trPr>
        <w:tc>
          <w:tcPr>
            <w:tcW w:w="5102" w:type="dxa"/>
            <w:tcMar>
              <w:top w:w="113" w:type="dxa"/>
              <w:left w:w="113" w:type="dxa"/>
              <w:bottom w:w="113" w:type="dxa"/>
              <w:right w:w="113" w:type="dxa"/>
            </w:tcMar>
          </w:tcPr>
          <w:p w:rsidRPr="00F87651" w:rsidR="004B0858" w:rsidP="004B0858" w:rsidRDefault="004B0858" w14:paraId="5DD61F8C" w14:textId="51155691">
            <w:pPr>
              <w:pStyle w:val="BasicParagraph"/>
              <w:suppressAutoHyphens/>
              <w:ind w:left="28" w:hanging="28"/>
            </w:pPr>
            <w:r w:rsidRPr="00FB51AD">
              <w:rPr>
                <w:rStyle w:val="BodyCopyUnderline"/>
                <w:rFonts w:ascii="Arial" w:hAnsi="Arial" w:cs="Arial"/>
                <w:spacing w:val="-2"/>
                <w:u w:val="none"/>
              </w:rPr>
              <w:t>We regularly review risks at staff and management meetings. This includes supervisions and, where appropriate, in handovers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21406D28" w14:textId="77777777">
        <w:trPr>
          <w:cantSplit/>
          <w:trHeight w:val="60"/>
        </w:trPr>
        <w:tc>
          <w:tcPr>
            <w:tcW w:w="5102" w:type="dxa"/>
            <w:tcMar>
              <w:top w:w="113" w:type="dxa"/>
              <w:left w:w="113" w:type="dxa"/>
              <w:bottom w:w="113" w:type="dxa"/>
              <w:right w:w="113" w:type="dxa"/>
            </w:tcMar>
          </w:tcPr>
          <w:p w:rsidRPr="00FB51AD" w:rsidR="004B0858" w:rsidP="004B0858" w:rsidRDefault="004B0858" w14:paraId="3AA6C7BA" w14:textId="77777777">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spacing w:val="-2"/>
                <w:u w:val="none"/>
              </w:rPr>
              <w:t xml:space="preserve">If risks are identified via quality checks </w:t>
            </w:r>
          </w:p>
          <w:p w:rsidRPr="00F87651" w:rsidR="004B0858" w:rsidP="004B0858" w:rsidRDefault="004B0858" w14:paraId="11EC624B" w14:textId="2B48F640">
            <w:pPr>
              <w:pStyle w:val="BasicParagraph"/>
              <w:suppressAutoHyphens/>
              <w:ind w:left="28" w:hanging="28"/>
            </w:pPr>
            <w:r w:rsidRPr="00FB51AD">
              <w:rPr>
                <w:rStyle w:val="BodyCopyUnderline"/>
                <w:rFonts w:ascii="Arial" w:hAnsi="Arial" w:cs="Arial"/>
                <w:spacing w:val="-2"/>
                <w:u w:val="none"/>
              </w:rPr>
              <w:t>and other methods, we ensure these are mitigated. Similarly, if external audits such as CQC inspections identify failings, we action improvements at the earliest opportunity.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389DA3BA" w14:textId="77777777">
        <w:trPr>
          <w:cantSplit/>
          <w:trHeight w:val="60"/>
        </w:trPr>
        <w:tc>
          <w:tcPr>
            <w:tcW w:w="5102" w:type="dxa"/>
            <w:tcMar>
              <w:top w:w="113" w:type="dxa"/>
              <w:left w:w="113" w:type="dxa"/>
              <w:bottom w:w="113" w:type="dxa"/>
              <w:right w:w="113" w:type="dxa"/>
            </w:tcMar>
          </w:tcPr>
          <w:p w:rsidRPr="00F87651" w:rsidR="004B0858" w:rsidP="004B0858" w:rsidRDefault="004B0858" w14:paraId="3FA84982" w14:textId="291BBA43">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spacing w:val="-2"/>
                <w:u w:val="none"/>
              </w:rPr>
              <w:t>We ensure our risk assessments include a practical level of information to ensure it’s a usable document that captures everything that’s needed. Data protection protocols are followed.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4C09C02F" w14:textId="77777777">
        <w:trPr>
          <w:cantSplit/>
          <w:trHeight w:val="60"/>
        </w:trPr>
        <w:tc>
          <w:tcPr>
            <w:tcW w:w="5102" w:type="dxa"/>
            <w:tcMar>
              <w:top w:w="113" w:type="dxa"/>
              <w:left w:w="113" w:type="dxa"/>
              <w:bottom w:w="113" w:type="dxa"/>
              <w:right w:w="113" w:type="dxa"/>
            </w:tcMar>
          </w:tcPr>
          <w:p w:rsidRPr="00F87651" w:rsidR="004B0858" w:rsidP="004B0858" w:rsidRDefault="004B0858" w14:paraId="129EF85B" w14:textId="27C55AFB">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spacing w:val="-2"/>
                <w:u w:val="none"/>
              </w:rPr>
              <w:lastRenderedPageBreak/>
              <w:t>We provide accessible information to people who need care and support about how to keep themselves safe and are empowered to report concerns.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1861DEF5" w14:textId="77777777">
        <w:trPr>
          <w:cantSplit/>
          <w:trHeight w:val="60"/>
        </w:trPr>
        <w:tc>
          <w:tcPr>
            <w:tcW w:w="5102" w:type="dxa"/>
            <w:tcMar>
              <w:top w:w="113" w:type="dxa"/>
              <w:left w:w="113" w:type="dxa"/>
              <w:bottom w:w="113" w:type="dxa"/>
              <w:right w:w="113" w:type="dxa"/>
            </w:tcMar>
          </w:tcPr>
          <w:p w:rsidRPr="00F87651" w:rsidR="004B0858" w:rsidP="004B0858" w:rsidRDefault="004B0858" w14:paraId="2D1EB313" w14:textId="59402354">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u w:val="none"/>
              </w:rPr>
              <w:t>If restrictions are needed to protect people and staff, we ensure these are time-limited and kept under constant review.</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0DC8BE3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936F7E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CD27A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0C7FF5D2" w14:textId="43AC6D8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31B2187A" w14:textId="1B32F22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5A6C0056" w14:textId="77777777">
        <w:trPr>
          <w:cantSplit/>
          <w:trHeight w:val="60"/>
        </w:trPr>
        <w:tc>
          <w:tcPr>
            <w:tcW w:w="5102" w:type="dxa"/>
            <w:tcMar>
              <w:top w:w="113" w:type="dxa"/>
              <w:left w:w="113" w:type="dxa"/>
              <w:bottom w:w="113" w:type="dxa"/>
              <w:right w:w="113" w:type="dxa"/>
            </w:tcMar>
          </w:tcPr>
          <w:p w:rsidRPr="00F87651" w:rsidR="004B0858" w:rsidP="004B0858" w:rsidRDefault="004B0858" w14:paraId="7DB32049" w14:textId="0C9826AF">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u w:val="none"/>
              </w:rPr>
              <w:t>We do everything we can to try to identify and understand the root cause of the issues that may result in behaviours that challenge, engaging with specialists to understand how best to safely respond to this.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BEA951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516593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0D6A0A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57CE81E6" w14:textId="48F2491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04DE2CDE" w14:textId="2908F5E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709E63D1" w14:textId="77777777">
        <w:trPr>
          <w:cantSplit/>
          <w:trHeight w:val="60"/>
        </w:trPr>
        <w:tc>
          <w:tcPr>
            <w:tcW w:w="5102" w:type="dxa"/>
            <w:tcMar>
              <w:top w:w="113" w:type="dxa"/>
              <w:left w:w="113" w:type="dxa"/>
              <w:bottom w:w="113" w:type="dxa"/>
              <w:right w:w="113" w:type="dxa"/>
            </w:tcMar>
          </w:tcPr>
          <w:p w:rsidRPr="00FB51AD" w:rsidR="004B0858" w:rsidP="004B0858" w:rsidRDefault="004B0858" w14:paraId="7383688F" w14:textId="0768368D">
            <w:pPr>
              <w:pStyle w:val="BasicParagraph"/>
              <w:suppressAutoHyphens/>
              <w:ind w:left="28" w:hanging="28"/>
              <w:rPr>
                <w:rStyle w:val="BodyCopyUnderline"/>
                <w:rFonts w:ascii="Arial" w:hAnsi="Arial" w:cs="Arial"/>
                <w:u w:val="none"/>
              </w:rPr>
            </w:pPr>
            <w:r w:rsidRPr="00FB51AD">
              <w:rPr>
                <w:rStyle w:val="BodyCopyUnderline"/>
                <w:rFonts w:ascii="Arial" w:hAnsi="Arial" w:cs="Arial"/>
                <w:u w:val="none"/>
              </w:rPr>
              <w:t>We ensure any restrictive intervention must be legally and ethically justified, is absolutely necessary to prevent serious harm, and be the least restrictive option.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134F387A" w14:textId="2DBE2A9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13663FB" w14:textId="7374C47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7EA66ED8" w14:textId="61A2BCE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51F74C6E" w14:textId="3B35236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73BEA76" w14:textId="009C4F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2620A7BE" w14:textId="77777777">
        <w:trPr>
          <w:cantSplit/>
          <w:trHeight w:val="60"/>
        </w:trPr>
        <w:tc>
          <w:tcPr>
            <w:tcW w:w="5102" w:type="dxa"/>
            <w:tcMar>
              <w:top w:w="113" w:type="dxa"/>
              <w:left w:w="113" w:type="dxa"/>
              <w:bottom w:w="113" w:type="dxa"/>
              <w:right w:w="113" w:type="dxa"/>
            </w:tcMar>
          </w:tcPr>
          <w:p w:rsidRPr="00FB51AD" w:rsidR="004B0858" w:rsidP="004B0858" w:rsidRDefault="004B0858" w14:paraId="44E6B39F" w14:textId="4DCFF77E">
            <w:pPr>
              <w:pStyle w:val="BasicParagraph"/>
              <w:suppressAutoHyphens/>
              <w:ind w:left="28" w:hanging="28"/>
              <w:rPr>
                <w:rStyle w:val="BodyCopyUnderline"/>
                <w:rFonts w:ascii="Arial" w:hAnsi="Arial" w:cs="Arial"/>
                <w:u w:val="none"/>
              </w:rPr>
            </w:pPr>
            <w:r w:rsidRPr="00FB51AD">
              <w:rPr>
                <w:rStyle w:val="BodyCopyUnderline"/>
                <w:rFonts w:ascii="Arial" w:hAnsi="Arial" w:cs="Arial"/>
                <w:spacing w:val="-2"/>
                <w:u w:val="none"/>
              </w:rPr>
              <w:lastRenderedPageBreak/>
              <w:t>Where relevant to our service, the people we support in contact with mental health services who’ve been violent or aggressive are supported to identify triggers and early warning signs for these behaviours. This is in accordance with NICE guidelines.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6185C47C" w14:textId="2CAE69C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63CFAE33" w14:textId="3A1DDEF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315ABC9C" w14:textId="26FEE55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01027D99" w14:textId="1BB05AD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579910A6" w14:textId="579A0B6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1C23790B" w14:textId="77777777">
        <w:trPr>
          <w:cantSplit/>
          <w:trHeight w:val="60"/>
        </w:trPr>
        <w:tc>
          <w:tcPr>
            <w:tcW w:w="5102" w:type="dxa"/>
            <w:tcMar>
              <w:top w:w="113" w:type="dxa"/>
              <w:left w:w="113" w:type="dxa"/>
              <w:bottom w:w="113" w:type="dxa"/>
              <w:right w:w="113" w:type="dxa"/>
            </w:tcMar>
          </w:tcPr>
          <w:p w:rsidRPr="00FB51AD" w:rsidR="004B0858" w:rsidP="004B0858" w:rsidRDefault="004B0858" w14:paraId="52A2C912" w14:textId="17E7578A">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spacing w:val="-2"/>
                <w:u w:val="none"/>
              </w:rPr>
              <w:t>Our training is in line with the Restraint Reduction Network training standards and effectively delivered by experts, with the competency of those delivering care being appropriately assessed.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4A089799" w14:textId="502D744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46AC9D2D" w14:textId="7AD1AA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6716A3F5" w14:textId="5884A02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6A9CDB52" w14:textId="730179D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1E96D985" w14:textId="1AAC46B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4B0858" w:rsidTr="0013462C" w14:paraId="43964BA2" w14:textId="77777777">
        <w:trPr>
          <w:cantSplit/>
          <w:trHeight w:val="60"/>
        </w:trPr>
        <w:tc>
          <w:tcPr>
            <w:tcW w:w="5102" w:type="dxa"/>
            <w:tcMar>
              <w:top w:w="113" w:type="dxa"/>
              <w:left w:w="113" w:type="dxa"/>
              <w:bottom w:w="113" w:type="dxa"/>
              <w:right w:w="113" w:type="dxa"/>
            </w:tcMar>
          </w:tcPr>
          <w:p w:rsidRPr="00FB51AD" w:rsidR="004B0858" w:rsidP="004B0858" w:rsidRDefault="004B0858" w14:paraId="4909B007" w14:textId="77E05306">
            <w:pPr>
              <w:pStyle w:val="BasicParagraph"/>
              <w:suppressAutoHyphens/>
              <w:ind w:left="28" w:hanging="28"/>
              <w:rPr>
                <w:rStyle w:val="BodyCopyUnderline"/>
                <w:rFonts w:ascii="Arial" w:hAnsi="Arial" w:cs="Arial"/>
                <w:spacing w:val="-2"/>
                <w:u w:val="none"/>
              </w:rPr>
            </w:pPr>
            <w:r w:rsidRPr="00FB51AD">
              <w:rPr>
                <w:rStyle w:val="BodyCopyUnderline"/>
                <w:rFonts w:ascii="Arial" w:hAnsi="Arial" w:cs="Arial"/>
                <w:spacing w:val="-2"/>
                <w:u w:val="none"/>
              </w:rPr>
              <w:t>Where relevant to our service, the people we support with behaviour that challenges have a documented review every time a restrictive intervention is used.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13B2D410" w14:textId="476633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4B0858" w:rsidP="004B0858" w:rsidRDefault="004B0858" w14:paraId="4E7E2348" w14:textId="36C59F2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4B0858" w:rsidP="004B0858" w:rsidRDefault="004B0858" w14:paraId="581C6735" w14:textId="5676C3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4B0858" w:rsidP="004B0858" w:rsidRDefault="004B0858" w14:paraId="54B0453A" w14:textId="2528926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4B0858" w:rsidP="004B0858" w:rsidRDefault="004B0858" w14:paraId="095CAE45" w14:textId="2085ED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27898AFD">
      <w:pPr>
        <w:pStyle w:val="Heading3"/>
        <w:rPr>
          <w:rFonts w:ascii="Arial" w:hAnsi="Arial" w:cs="Arial"/>
          <w:color w:val="5B5958"/>
        </w:rPr>
      </w:pPr>
    </w:p>
    <w:p w:rsidRPr="00134526" w:rsidR="00595AE5" w:rsidP="00F87651" w:rsidRDefault="00595AE5" w14:paraId="62A5D2A4"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A3B22" w:rsidTr="00CE78A6" w14:paraId="5D02E250" w14:textId="77777777">
        <w:tc>
          <w:tcPr>
            <w:tcW w:w="13462" w:type="dxa"/>
          </w:tcPr>
          <w:p w:rsidRPr="00595AE5" w:rsidR="005A3B22" w:rsidP="005A3B22" w:rsidRDefault="005A3B22" w14:paraId="01B9908E" w14:textId="0EBDEF14">
            <w:pPr>
              <w:pStyle w:val="Heading3"/>
              <w:rPr>
                <w:rFonts w:ascii="Arial" w:hAnsi="Arial" w:cs="Arial"/>
                <w:color w:val="4472C4" w:themeColor="accent1"/>
                <w:sz w:val="24"/>
                <w:szCs w:val="24"/>
              </w:rPr>
            </w:pPr>
            <w:r w:rsidRPr="00595AE5">
              <w:rPr>
                <w:rFonts w:ascii="Arial" w:hAnsi="Arial" w:cs="Arial"/>
                <w:color w:val="005EB8"/>
                <w:sz w:val="28"/>
                <w:szCs w:val="28"/>
              </w:rPr>
              <w:lastRenderedPageBreak/>
              <w:t>Resources to help</w:t>
            </w:r>
          </w:p>
          <w:p w:rsidRPr="005A3B22" w:rsidR="005A3B22" w:rsidP="005A3B22" w:rsidRDefault="005A3B22" w14:paraId="46EB4B23" w14:textId="77777777">
            <w:pPr>
              <w:rPr>
                <w:rFonts w:cs="Arial"/>
                <w:b/>
                <w:bCs/>
                <w:color w:val="4472C4" w:themeColor="accent1"/>
                <w:szCs w:val="24"/>
              </w:rPr>
            </w:pPr>
            <w:r w:rsidRPr="00595AE5">
              <w:rPr>
                <w:rFonts w:cs="Arial"/>
                <w:b/>
                <w:bCs/>
                <w:color w:val="005EB8"/>
                <w:szCs w:val="24"/>
              </w:rPr>
              <w:t>GO Online: Inspection toolkit</w:t>
            </w:r>
          </w:p>
          <w:p w:rsidR="005A3B22" w:rsidP="005A3B22" w:rsidRDefault="005A3B22" w14:paraId="4BAE565B" w14:textId="2D08B850">
            <w:pPr>
              <w:spacing w:after="160" w:line="259" w:lineRule="auto"/>
              <w:rPr>
                <w:rFonts w:cs="Arial"/>
                <w:color w:val="FF0000"/>
                <w:szCs w:val="24"/>
              </w:rPr>
            </w:pPr>
            <w:r w:rsidRPr="005A3B22">
              <w:rPr>
                <w:rFonts w:cs="Arial"/>
                <w:szCs w:val="24"/>
              </w:rPr>
              <w:t xml:space="preserve">Learn more about how this is inspected via a short film, practical examples and resources </w:t>
            </w:r>
            <w:hyperlink w:history="1" r:id="rId9">
              <w:r w:rsidRPr="008D03A3">
                <w:rPr>
                  <w:rStyle w:val="Hyperlink"/>
                  <w:rFonts w:cs="Arial"/>
                  <w:szCs w:val="24"/>
                </w:rPr>
                <w:t>here</w:t>
              </w:r>
            </w:hyperlink>
            <w:r w:rsidR="008D03A3">
              <w:rPr>
                <w:rFonts w:cs="Arial"/>
                <w:szCs w:val="24"/>
              </w:rPr>
              <w:t>.</w:t>
            </w:r>
          </w:p>
          <w:p w:rsidRPr="00DB3B0A" w:rsidR="00EC0462" w:rsidP="00DB3B0A" w:rsidRDefault="00DB3B0A" w14:paraId="5FA0E48E" w14:textId="767D3F41">
            <w:pPr>
              <w:spacing w:after="160" w:line="259" w:lineRule="auto"/>
              <w:rPr>
                <w:rFonts w:cs="Arial"/>
                <w:b/>
                <w:bCs/>
                <w:color w:val="005EB8"/>
                <w:szCs w:val="24"/>
              </w:rPr>
            </w:pPr>
            <w:r w:rsidRPr="00DD3F7C">
              <w:rPr>
                <w:rFonts w:cs="Arial"/>
                <w:b/>
                <w:bCs/>
                <w:color w:val="005EB8"/>
                <w:szCs w:val="24"/>
              </w:rPr>
              <w:t>Recommendations checklists</w:t>
            </w:r>
            <w:r>
              <w:rPr>
                <w:rFonts w:cs="Arial"/>
                <w:b/>
                <w:bCs/>
                <w:color w:val="005EB8"/>
                <w:szCs w:val="24"/>
              </w:rPr>
              <w:br/>
            </w:r>
            <w:r w:rsidRPr="005A3B22">
              <w:rPr>
                <w:rFonts w:cs="Arial"/>
                <w:szCs w:val="24"/>
              </w:rPr>
              <w:t>Access the full range of all Recommendations Checklists, exclusively available to Skills for Care Registered Manager Members</w:t>
            </w:r>
            <w:r>
              <w:rPr>
                <w:rFonts w:cs="Arial"/>
                <w:szCs w:val="24"/>
              </w:rPr>
              <w:t xml:space="preserve"> </w:t>
            </w:r>
            <w:hyperlink w:history="1" r:id="rId10">
              <w:r w:rsidRPr="00417EDD">
                <w:rPr>
                  <w:rStyle w:val="Hyperlink"/>
                  <w:rFonts w:cs="Arial"/>
                  <w:szCs w:val="24"/>
                </w:rPr>
                <w:t>here</w:t>
              </w:r>
            </w:hyperlink>
            <w:r w:rsidRPr="005A3B22">
              <w:rPr>
                <w:rFonts w:cs="Arial"/>
                <w:szCs w:val="24"/>
              </w:rPr>
              <w:t>.</w:t>
            </w:r>
          </w:p>
          <w:p w:rsidRPr="00595AE5" w:rsidR="008D03A3" w:rsidP="008D03A3" w:rsidRDefault="008D03A3" w14:paraId="547EAA66" w14:textId="77777777">
            <w:pPr>
              <w:rPr>
                <w:rFonts w:cs="Arial"/>
                <w:b/>
                <w:bCs/>
                <w:color w:val="005EB8"/>
                <w:szCs w:val="24"/>
              </w:rPr>
            </w:pPr>
            <w:r w:rsidRPr="00595AE5">
              <w:rPr>
                <w:rFonts w:cs="Arial"/>
                <w:b/>
                <w:bCs/>
                <w:color w:val="005EB8"/>
                <w:szCs w:val="24"/>
              </w:rPr>
              <w:t>Good and Outstanding care support</w:t>
            </w:r>
          </w:p>
          <w:p w:rsidRPr="008D03A3" w:rsidR="005A3B22" w:rsidP="008D03A3" w:rsidRDefault="008D03A3" w14:paraId="6293D944" w14:textId="42939760">
            <w:pPr>
              <w:spacing w:after="160" w:line="259" w:lineRule="auto"/>
              <w:rPr>
                <w:rFonts w:cs="Arial"/>
                <w:color w:val="FF0000"/>
                <w:szCs w:val="24"/>
              </w:rPr>
            </w:pPr>
            <w:r>
              <w:rPr>
                <w:rFonts w:cs="Arial"/>
                <w:szCs w:val="24"/>
              </w:rPr>
              <w:t xml:space="preserve">Skills for Care’s Good and Outstanding care resources include practical e-learning modules, </w:t>
            </w:r>
            <w:proofErr w:type="gramStart"/>
            <w:r>
              <w:rPr>
                <w:rFonts w:cs="Arial"/>
                <w:szCs w:val="24"/>
              </w:rPr>
              <w:t>guidance</w:t>
            </w:r>
            <w:proofErr w:type="gramEnd"/>
            <w:r>
              <w:rPr>
                <w:rFonts w:cs="Arial"/>
                <w:szCs w:val="24"/>
              </w:rPr>
              <w:t xml:space="preserve"> and seminars to support you to meet CQC expectations.  Learn more about what is available </w:t>
            </w:r>
            <w:hyperlink w:history="1" r:id="rId11">
              <w:r>
                <w:rPr>
                  <w:rStyle w:val="Hyperlink"/>
                  <w:rFonts w:cs="Arial"/>
                  <w:szCs w:val="24"/>
                </w:rPr>
                <w:t>here</w:t>
              </w:r>
            </w:hyperlink>
            <w:r>
              <w:rPr>
                <w:rFonts w:cs="Arial"/>
                <w:szCs w:val="24"/>
              </w:rPr>
              <w:t>.</w:t>
            </w:r>
          </w:p>
        </w:tc>
      </w:tr>
    </w:tbl>
    <w:p w:rsidR="00E71842" w:rsidP="00F87651" w:rsidRDefault="00E71842" w14:paraId="01C164A5" w14:textId="0E8EC967">
      <w:pPr>
        <w:pStyle w:val="Heading3"/>
        <w:rPr>
          <w:rFonts w:ascii="Arial" w:hAnsi="Arial" w:cs="Arial"/>
          <w:color w:val="5B5958"/>
        </w:rPr>
      </w:pPr>
    </w:p>
    <w:p w:rsidRPr="00595AE5" w:rsidR="00595AE5" w:rsidP="00595AE5" w:rsidRDefault="00595AE5" w14:paraId="16D13682" w14:textId="7324D4A4"/>
    <w:p w:rsidRPr="00595AE5" w:rsidR="00595AE5" w:rsidP="00595AE5" w:rsidRDefault="00595AE5" w14:paraId="66FE995A" w14:textId="504E029D"/>
    <w:p w:rsidR="00595AE5" w:rsidP="00595AE5" w:rsidRDefault="00595AE5" w14:paraId="5BC7109C" w14:textId="7ED506C3">
      <w:pPr>
        <w:rPr>
          <w:rFonts w:cs="Arial"/>
          <w:b/>
          <w:bCs/>
          <w:color w:val="5B5958"/>
          <w:sz w:val="36"/>
          <w:szCs w:val="36"/>
        </w:rPr>
      </w:pPr>
    </w:p>
    <w:p w:rsidRPr="00595AE5" w:rsidR="00595AE5" w:rsidP="00595AE5" w:rsidRDefault="00595AE5" w14:paraId="4D715BBA" w14:textId="77777777">
      <w:pPr>
        <w:jc w:val="center"/>
      </w:pPr>
    </w:p>
    <w:sectPr w:rsidRPr="00595AE5" w:rsidR="00595AE5"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1C72" w14:textId="77777777" w:rsidR="003F5CC0" w:rsidRDefault="003F5CC0" w:rsidP="0031147E">
      <w:pPr>
        <w:spacing w:after="0" w:line="240" w:lineRule="auto"/>
      </w:pPr>
      <w:r>
        <w:separator/>
      </w:r>
    </w:p>
  </w:endnote>
  <w:endnote w:type="continuationSeparator" w:id="0">
    <w:p w14:paraId="04FC54FA" w14:textId="77777777" w:rsidR="003F5CC0" w:rsidRDefault="003F5CC0"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7928" w14:textId="77777777" w:rsidR="003F5CC0" w:rsidRDefault="003F5CC0" w:rsidP="0031147E">
      <w:pPr>
        <w:spacing w:after="0" w:line="240" w:lineRule="auto"/>
      </w:pPr>
      <w:r>
        <w:separator/>
      </w:r>
    </w:p>
  </w:footnote>
  <w:footnote w:type="continuationSeparator" w:id="0">
    <w:p w14:paraId="30B35664" w14:textId="77777777" w:rsidR="003F5CC0" w:rsidRDefault="003F5CC0"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9585" w14:textId="77777777" w:rsidR="00595AE5" w:rsidRDefault="00595AE5" w:rsidP="00603FA9">
    <w:pPr>
      <w:pStyle w:val="Header"/>
    </w:pPr>
    <w:r>
      <w:rPr>
        <w:noProof/>
        <w:sz w:val="20"/>
        <w:lang w:eastAsia="en-GB"/>
      </w:rPr>
      <w:drawing>
        <wp:anchor distT="0" distB="0" distL="114300" distR="114300" simplePos="0" relativeHeight="251659264" behindDoc="0" locked="0" layoutInCell="1" allowOverlap="1" wp14:anchorId="08DCE5D8" wp14:editId="0CFE8011">
          <wp:simplePos x="0" y="0"/>
          <wp:positionH relativeFrom="margin">
            <wp:align>right</wp:align>
          </wp:positionH>
          <wp:positionV relativeFrom="paragraph">
            <wp:posOffset>-281940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p>
  <w:p w14:paraId="636EEDDD" w14:textId="1A83C307" w:rsidR="0031147E" w:rsidRDefault="00603FA9" w:rsidP="00603FA9">
    <w:pPr>
      <w:pStyle w:val="Header"/>
    </w:pPr>
    <w:r>
      <w:tab/>
    </w:r>
    <w:r>
      <w:tab/>
    </w:r>
    <w:r>
      <w:tab/>
    </w:r>
    <w:r>
      <w:tab/>
    </w:r>
    <w:r>
      <w:tab/>
    </w:r>
    <w:r>
      <w:tab/>
    </w:r>
  </w:p>
  <w:p w14:paraId="7C6D54DC" w14:textId="29B7F0C1"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90DC2"/>
    <w:rsid w:val="001B4BB4"/>
    <w:rsid w:val="001E08F0"/>
    <w:rsid w:val="001F3C0A"/>
    <w:rsid w:val="00217355"/>
    <w:rsid w:val="00235E9C"/>
    <w:rsid w:val="00236F8A"/>
    <w:rsid w:val="0024128A"/>
    <w:rsid w:val="00246226"/>
    <w:rsid w:val="002728E3"/>
    <w:rsid w:val="002C0E74"/>
    <w:rsid w:val="002C7CCB"/>
    <w:rsid w:val="0031147E"/>
    <w:rsid w:val="00315264"/>
    <w:rsid w:val="00326F93"/>
    <w:rsid w:val="00336D41"/>
    <w:rsid w:val="003B0087"/>
    <w:rsid w:val="003D7BCF"/>
    <w:rsid w:val="003F5CC0"/>
    <w:rsid w:val="00417EDD"/>
    <w:rsid w:val="0043538B"/>
    <w:rsid w:val="004400E7"/>
    <w:rsid w:val="004507D2"/>
    <w:rsid w:val="004579D1"/>
    <w:rsid w:val="00473863"/>
    <w:rsid w:val="004751F1"/>
    <w:rsid w:val="0049343B"/>
    <w:rsid w:val="004B0858"/>
    <w:rsid w:val="004B4362"/>
    <w:rsid w:val="004B4E3D"/>
    <w:rsid w:val="004D0387"/>
    <w:rsid w:val="00504786"/>
    <w:rsid w:val="00527925"/>
    <w:rsid w:val="005313FF"/>
    <w:rsid w:val="005653AF"/>
    <w:rsid w:val="00572033"/>
    <w:rsid w:val="00574D8C"/>
    <w:rsid w:val="00595AE5"/>
    <w:rsid w:val="005A3B22"/>
    <w:rsid w:val="005B34AD"/>
    <w:rsid w:val="005B4CC7"/>
    <w:rsid w:val="005D2398"/>
    <w:rsid w:val="005F1FBC"/>
    <w:rsid w:val="00603FA9"/>
    <w:rsid w:val="006115EB"/>
    <w:rsid w:val="00624D3C"/>
    <w:rsid w:val="006353B8"/>
    <w:rsid w:val="00660B22"/>
    <w:rsid w:val="00694AB7"/>
    <w:rsid w:val="006B5B9B"/>
    <w:rsid w:val="006F6438"/>
    <w:rsid w:val="00755AC4"/>
    <w:rsid w:val="007A02F8"/>
    <w:rsid w:val="007C72F7"/>
    <w:rsid w:val="007F0B54"/>
    <w:rsid w:val="0082089C"/>
    <w:rsid w:val="00824BA6"/>
    <w:rsid w:val="008268F2"/>
    <w:rsid w:val="0083267A"/>
    <w:rsid w:val="0088102E"/>
    <w:rsid w:val="0088558C"/>
    <w:rsid w:val="008D03A3"/>
    <w:rsid w:val="008D46B4"/>
    <w:rsid w:val="00906B61"/>
    <w:rsid w:val="00974BD8"/>
    <w:rsid w:val="009811FF"/>
    <w:rsid w:val="009A2E30"/>
    <w:rsid w:val="00A066D4"/>
    <w:rsid w:val="00A654BE"/>
    <w:rsid w:val="00A66F1E"/>
    <w:rsid w:val="00A7158B"/>
    <w:rsid w:val="00A82A6E"/>
    <w:rsid w:val="00A860C7"/>
    <w:rsid w:val="00B05B6B"/>
    <w:rsid w:val="00B40910"/>
    <w:rsid w:val="00B4175E"/>
    <w:rsid w:val="00B63215"/>
    <w:rsid w:val="00B90A92"/>
    <w:rsid w:val="00B979D5"/>
    <w:rsid w:val="00BC757B"/>
    <w:rsid w:val="00BE17D7"/>
    <w:rsid w:val="00C16868"/>
    <w:rsid w:val="00C20735"/>
    <w:rsid w:val="00C362EC"/>
    <w:rsid w:val="00C97843"/>
    <w:rsid w:val="00CA092B"/>
    <w:rsid w:val="00CA7015"/>
    <w:rsid w:val="00CE78A6"/>
    <w:rsid w:val="00D16C92"/>
    <w:rsid w:val="00D56BAC"/>
    <w:rsid w:val="00D81681"/>
    <w:rsid w:val="00D90C1D"/>
    <w:rsid w:val="00D97C8D"/>
    <w:rsid w:val="00DA6FA0"/>
    <w:rsid w:val="00DB3B0A"/>
    <w:rsid w:val="00DB476D"/>
    <w:rsid w:val="00DB705A"/>
    <w:rsid w:val="00DD01BB"/>
    <w:rsid w:val="00DF5DD0"/>
    <w:rsid w:val="00E4116D"/>
    <w:rsid w:val="00E42DC6"/>
    <w:rsid w:val="00E71842"/>
    <w:rsid w:val="00E852FA"/>
    <w:rsid w:val="00E856DB"/>
    <w:rsid w:val="00EA1CDC"/>
    <w:rsid w:val="00EA3249"/>
    <w:rsid w:val="00EC0462"/>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17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29450042">
      <w:bodyDiv w:val="1"/>
      <w:marLeft w:val="0"/>
      <w:marRight w:val="0"/>
      <w:marTop w:val="0"/>
      <w:marBottom w:val="0"/>
      <w:divBdr>
        <w:top w:val="none" w:sz="0" w:space="0" w:color="auto"/>
        <w:left w:val="none" w:sz="0" w:space="0" w:color="auto"/>
        <w:bottom w:val="none" w:sz="0" w:space="0" w:color="auto"/>
        <w:right w:val="none" w:sz="0" w:space="0" w:color="auto"/>
      </w:divBdr>
    </w:div>
    <w:div w:id="1121416046">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involving-people-to-manage-ri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5814E1DE-1170-49DA-8D6F-B1396FFA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4E84F-DF46-4124-BB80-D35DAC350175}"/>
</file>

<file path=docProps/app.xml><?xml version="1.0" encoding="utf-8"?>
<Properties xmlns="http://schemas.openxmlformats.org/officeDocument/2006/extended-properties" xmlns:vt="http://schemas.openxmlformats.org/officeDocument/2006/docPropsVTypes">
  <Template>Normal</Template>
  <TotalTime>85</TotalTime>
  <Pages>1</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Involving people to manage risk</dc:title>
  <dc:subject>Involving people to manage risk</dc:subject>
  <dc:creator>Rob Hargreaves</dc:creator>
  <cp:keywords>
  </cp:keywords>
  <dc:description>
  </dc:description>
  <cp:lastModifiedBy>Jo Hawkins</cp:lastModifiedBy>
  <cp:revision>116</cp:revision>
  <dcterms:created xsi:type="dcterms:W3CDTF">2021-08-25T15:44:00Z</dcterms:created>
  <dcterms:modified xsi:type="dcterms:W3CDTF">2024-02-21T14:27:24Z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76ab13ad3d0af57731920a497da8e4ef462cda549c3cc70f6630fd6d8cfe4759</vt:lpwstr>
  </property>
</Properties>
</file>